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00" w:rsidRPr="0035415F" w:rsidRDefault="00E01300" w:rsidP="00E01300">
      <w:pPr>
        <w:bidi/>
        <w:spacing w:after="200" w:line="276" w:lineRule="auto"/>
        <w:rPr>
          <w:rFonts w:cs="2  Lotus"/>
          <w:b/>
          <w:bCs/>
          <w:rtl/>
          <w:lang w:bidi="fa-IR"/>
        </w:rPr>
      </w:pPr>
    </w:p>
    <w:p w:rsidR="00E01300" w:rsidRPr="0035415F" w:rsidRDefault="00E01300" w:rsidP="00E01300">
      <w:pPr>
        <w:bidi/>
        <w:spacing w:after="200" w:line="276" w:lineRule="auto"/>
        <w:rPr>
          <w:rFonts w:cs="2  Lotus"/>
          <w:b/>
          <w:bCs/>
          <w:rtl/>
          <w:lang w:bidi="fa-IR"/>
        </w:rPr>
      </w:pPr>
    </w:p>
    <w:p w:rsidR="00E01300" w:rsidRPr="0035415F" w:rsidRDefault="00E01300" w:rsidP="00E01300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35415F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6F2297AB" wp14:editId="1D216E23">
            <wp:extent cx="1682440" cy="1666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00" w:rsidRPr="0035415F" w:rsidRDefault="00E01300" w:rsidP="00E01300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E01300" w:rsidRPr="0035415F" w:rsidRDefault="00E01300" w:rsidP="00E01300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35415F">
        <w:rPr>
          <w:rFonts w:cs="2  Lotus" w:hint="cs"/>
          <w:b/>
          <w:bCs/>
          <w:sz w:val="40"/>
          <w:szCs w:val="40"/>
          <w:rtl/>
          <w:lang w:bidi="fa-IR"/>
        </w:rPr>
        <w:t>طرح درس ایمونوتراپی</w:t>
      </w:r>
    </w:p>
    <w:p w:rsidR="00E01300" w:rsidRPr="0035415F" w:rsidRDefault="00E01300" w:rsidP="00E01300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35415F">
        <w:rPr>
          <w:rFonts w:cs="2  Lotus" w:hint="cs"/>
          <w:b/>
          <w:bCs/>
          <w:sz w:val="40"/>
          <w:szCs w:val="40"/>
          <w:rtl/>
          <w:lang w:bidi="fa-IR"/>
        </w:rPr>
        <w:t>دانشجویان دکتری تخصصی(</w:t>
      </w:r>
      <w:r w:rsidRPr="0035415F">
        <w:rPr>
          <w:rFonts w:cs="2  Lotus"/>
          <w:b/>
          <w:bCs/>
          <w:sz w:val="40"/>
          <w:szCs w:val="40"/>
          <w:lang w:bidi="fa-IR"/>
        </w:rPr>
        <w:t>PhD</w:t>
      </w:r>
      <w:r w:rsidRPr="0035415F">
        <w:rPr>
          <w:rFonts w:cs="2  Lotus" w:hint="cs"/>
          <w:b/>
          <w:bCs/>
          <w:sz w:val="40"/>
          <w:szCs w:val="40"/>
          <w:rtl/>
          <w:lang w:bidi="fa-IR"/>
        </w:rPr>
        <w:t>) ایمنی شناسی</w:t>
      </w:r>
    </w:p>
    <w:p w:rsidR="00E01300" w:rsidRPr="0035415F" w:rsidRDefault="00E01300" w:rsidP="00E01300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35415F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E01300" w:rsidRPr="0035415F" w:rsidRDefault="00E01300" w:rsidP="00E01300">
      <w:pPr>
        <w:bidi/>
        <w:spacing w:after="200" w:line="276" w:lineRule="auto"/>
        <w:rPr>
          <w:rFonts w:cs="2  Lotus"/>
          <w:b/>
          <w:bCs/>
          <w:rtl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35415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 ايمونوتراپي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ايمونولوژي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</w:t>
            </w:r>
            <w:r w:rsidRPr="0035415F">
              <w:rPr>
                <w:rFonts w:cs="2  Lotus" w:hint="cs"/>
                <w:b w:val="0"/>
                <w:bCs w:val="0"/>
                <w:color w:val="000000"/>
                <w:sz w:val="28"/>
                <w:szCs w:val="28"/>
                <w:rtl/>
                <w:lang w:bidi="fa-IR"/>
              </w:rPr>
              <w:t>سرطان ها (سیستم های نوین دارورسانی)</w:t>
            </w: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E01300" w:rsidRPr="0035415F" w:rsidRDefault="00E01300" w:rsidP="000C1697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0C1697" w:rsidRPr="0035415F">
              <w:rPr>
                <w:rFonts w:cs="2  Lotus" w:hint="cs"/>
                <w:b w:val="0"/>
                <w:bCs w:val="0"/>
                <w:rtl/>
                <w:lang w:bidi="fa-IR"/>
              </w:rPr>
              <w:t>جلسه اول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E01300" w:rsidRPr="0035415F" w:rsidRDefault="00E01300" w:rsidP="00E01300">
      <w:pPr>
        <w:bidi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E01300" w:rsidRPr="0035415F" w:rsidTr="00E01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35415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آشنایی با مفهوم دارورسانی و سیستم های دارورسانی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آشنایی با انواع سیستم های دارورسانی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آشنایی انواع حامل های بر پایه نانوذرات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4- آشنایی با محدودیت های سیستم های دارورسانی 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مجلات معتبر الکترونیکی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1300" w:rsidRPr="0035415F" w:rsidRDefault="00E01300" w:rsidP="00E01300">
      <w:pPr>
        <w:bidi/>
        <w:rPr>
          <w:rFonts w:cs="2  Lotus"/>
          <w:lang w:bidi="fa-IR"/>
        </w:rPr>
      </w:pPr>
    </w:p>
    <w:p w:rsidR="00E01300" w:rsidRPr="0035415F" w:rsidRDefault="00E01300">
      <w:pPr>
        <w:spacing w:after="200" w:line="276" w:lineRule="auto"/>
        <w:rPr>
          <w:rFonts w:cs="2  Lotus"/>
          <w:rtl/>
        </w:rPr>
      </w:pPr>
      <w:r w:rsidRPr="0035415F">
        <w:rPr>
          <w:rFonts w:cs="2  Lotus"/>
          <w:rtl/>
        </w:rPr>
        <w:br w:type="page"/>
      </w: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فرم تدوین طرح درس</w:t>
      </w:r>
    </w:p>
    <w:p w:rsidR="00E01300" w:rsidRPr="0035415F" w:rsidRDefault="00E01300" w:rsidP="00E01300">
      <w:pPr>
        <w:bidi/>
        <w:jc w:val="center"/>
        <w:rPr>
          <w:rFonts w:cs="2  Lotus"/>
          <w:b/>
          <w:bCs/>
          <w:rtl/>
          <w:lang w:bidi="fa-IR"/>
        </w:rPr>
      </w:pPr>
    </w:p>
    <w:tbl>
      <w:tblPr>
        <w:tblStyle w:val="LightGrid-Accent2"/>
        <w:bidiVisual/>
        <w:tblW w:w="10663" w:type="dxa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ایمونوتراپی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موضوع جلسه: سرطان ها (ژن درمانی)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Ph.D</w:t>
            </w:r>
            <w:proofErr w:type="spellEnd"/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ایمونولوژی</w:t>
            </w:r>
          </w:p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</w:p>
          <w:p w:rsidR="00E01300" w:rsidRPr="0035415F" w:rsidRDefault="00E01300" w:rsidP="000C1697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  <w:r w:rsidR="000C1697" w:rsidRPr="0035415F">
              <w:rPr>
                <w:rFonts w:cs="2  Lotus" w:hint="cs"/>
                <w:b w:val="0"/>
                <w:bCs w:val="0"/>
                <w:rtl/>
                <w:lang w:bidi="fa-IR"/>
              </w:rPr>
              <w:t>جلسه دوم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بهزاد برادران</w:t>
            </w:r>
          </w:p>
        </w:tc>
      </w:tr>
    </w:tbl>
    <w:p w:rsidR="00E01300" w:rsidRPr="0035415F" w:rsidRDefault="00E01300" w:rsidP="00E01300">
      <w:pPr>
        <w:bidi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tblLook w:val="01E0" w:firstRow="1" w:lastRow="1" w:firstColumn="1" w:lastColumn="1" w:noHBand="0" w:noVBand="0"/>
      </w:tblPr>
      <w:tblGrid>
        <w:gridCol w:w="2688"/>
        <w:gridCol w:w="1071"/>
        <w:gridCol w:w="3517"/>
        <w:gridCol w:w="3333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E01300" w:rsidRPr="0035415F" w:rsidTr="00E01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35415F">
              <w:rPr>
                <w:rFonts w:ascii="Arial" w:hAnsi="Arial" w:cs="2  Lotus"/>
                <w:rtl/>
                <w:lang w:bidi="fa-IR"/>
              </w:rPr>
              <w:t>-</w:t>
            </w:r>
            <w:r w:rsidRPr="0035415F">
              <w:rPr>
                <w:rFonts w:ascii="Arial" w:hAnsi="Arial" w:cs="2  Lotus"/>
                <w:lang w:bidi="fa-IR"/>
              </w:rPr>
              <w:t xml:space="preserve"> </w:t>
            </w:r>
            <w:r w:rsidRPr="0035415F">
              <w:rPr>
                <w:rFonts w:ascii="Arial" w:hAnsi="Arial" w:cs="2  Lotus" w:hint="cs"/>
                <w:rtl/>
                <w:lang w:bidi="fa-IR"/>
              </w:rPr>
              <w:t xml:space="preserve"> درمانهای روتین سرطان</w:t>
            </w:r>
          </w:p>
          <w:p w:rsidR="00E01300" w:rsidRPr="0035415F" w:rsidRDefault="00E01300" w:rsidP="0031722D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35415F">
              <w:rPr>
                <w:rFonts w:ascii="Arial" w:hAnsi="Arial" w:cs="2  Lotus"/>
                <w:rtl/>
                <w:lang w:bidi="fa-IR"/>
              </w:rPr>
              <w:t>2-</w:t>
            </w:r>
            <w:r w:rsidRPr="0035415F">
              <w:rPr>
                <w:rFonts w:ascii="Arial" w:hAnsi="Arial" w:cs="2  Lotus" w:hint="cs"/>
                <w:rtl/>
                <w:lang w:bidi="fa-IR"/>
              </w:rPr>
              <w:t>اساس پاسخ های ایمنی بر علیه تومورها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>3-</w:t>
            </w:r>
            <w:r w:rsidRPr="0035415F">
              <w:rPr>
                <w:rFonts w:cs="2  Lotus"/>
                <w:lang w:bidi="fa-IR"/>
              </w:rPr>
              <w:t>Whole-cell cancer vaccines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>4-</w:t>
            </w:r>
            <w:r w:rsidRPr="0035415F">
              <w:rPr>
                <w:rFonts w:cs="2  Lotus"/>
                <w:lang w:bidi="fa-IR"/>
              </w:rPr>
              <w:t>Gene modified cancer vaccines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5- </w:t>
            </w:r>
            <w:r w:rsidRPr="0035415F">
              <w:rPr>
                <w:rFonts w:cs="2  Lotus"/>
                <w:lang w:bidi="fa-IR"/>
              </w:rPr>
              <w:t>Prime-boost strategy</w:t>
            </w:r>
          </w:p>
          <w:p w:rsidR="00E01300" w:rsidRPr="0035415F" w:rsidRDefault="00E01300" w:rsidP="0031722D">
            <w:pPr>
              <w:bidi/>
              <w:rPr>
                <w:rFonts w:cs="2  Lotus"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6-  </w:t>
            </w:r>
            <w:r w:rsidRPr="0035415F">
              <w:rPr>
                <w:rFonts w:cs="2  Lotus"/>
                <w:lang w:bidi="fa-IR"/>
              </w:rPr>
              <w:t xml:space="preserve"> Dendritic cells Vaccines</w:t>
            </w:r>
            <w:r w:rsidRPr="0035415F">
              <w:rPr>
                <w:rFonts w:cs="2  Lotus"/>
                <w:rtl/>
                <w:lang w:bidi="fa-IR"/>
              </w:rPr>
              <w:t xml:space="preserve"> 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7- </w:t>
            </w:r>
            <w:r w:rsidRPr="0035415F">
              <w:rPr>
                <w:rFonts w:cs="2  Lotus"/>
                <w:lang w:bidi="fa-IR"/>
              </w:rPr>
              <w:t>Exosomes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8- </w:t>
            </w:r>
            <w:r w:rsidRPr="0035415F">
              <w:rPr>
                <w:rFonts w:cs="2  Lotus"/>
                <w:lang w:bidi="fa-IR"/>
              </w:rPr>
              <w:t>Nonspecific immunologic stimulants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9- </w:t>
            </w:r>
            <w:r w:rsidRPr="0035415F">
              <w:rPr>
                <w:rFonts w:cs="2  Lotus"/>
                <w:lang w:bidi="fa-IR"/>
              </w:rPr>
              <w:t>Adoptive transfer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10- </w:t>
            </w:r>
            <w:r w:rsidRPr="0035415F">
              <w:rPr>
                <w:rFonts w:cs="2  Lotus"/>
                <w:lang w:bidi="fa-IR"/>
              </w:rPr>
              <w:t xml:space="preserve">Blockade of </w:t>
            </w:r>
            <w:proofErr w:type="spellStart"/>
            <w:r w:rsidRPr="0035415F">
              <w:rPr>
                <w:rFonts w:cs="2  Lotus"/>
                <w:lang w:bidi="fa-IR"/>
              </w:rPr>
              <w:t>immunosuppressors</w:t>
            </w:r>
            <w:proofErr w:type="spellEnd"/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11-  </w:t>
            </w:r>
            <w:r w:rsidRPr="0035415F">
              <w:rPr>
                <w:rFonts w:cs="2  Lotus"/>
                <w:lang w:bidi="fa-IR"/>
              </w:rPr>
              <w:t>Non–T-cell–directed vaccines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12- </w:t>
            </w:r>
            <w:r w:rsidRPr="0035415F">
              <w:rPr>
                <w:rFonts w:cs="2  Lotus"/>
                <w:lang w:bidi="fa-IR"/>
              </w:rPr>
              <w:t>Future directions</w:t>
            </w:r>
          </w:p>
          <w:p w:rsidR="00E01300" w:rsidRPr="0035415F" w:rsidRDefault="00E01300" w:rsidP="0031722D">
            <w:pPr>
              <w:bidi/>
              <w:rPr>
                <w:rFonts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>13-</w:t>
            </w:r>
            <w:r w:rsidRPr="0035415F">
              <w:rPr>
                <w:rFonts w:cs="2  Lotus"/>
                <w:lang w:bidi="fa-IR"/>
              </w:rPr>
              <w:t>Reasons for failure</w:t>
            </w:r>
            <w:r w:rsidRPr="0035415F">
              <w:rPr>
                <w:rFonts w:cs="2  Lotus"/>
                <w:rtl/>
                <w:lang w:bidi="fa-IR"/>
              </w:rPr>
              <w:t xml:space="preserve"> </w:t>
            </w:r>
          </w:p>
          <w:p w:rsidR="00E01300" w:rsidRPr="0035415F" w:rsidRDefault="00E01300" w:rsidP="0031722D">
            <w:pPr>
              <w:bidi/>
              <w:rPr>
                <w:rFonts w:cs="2  Lotus"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 xml:space="preserve">14- </w:t>
            </w:r>
            <w:r w:rsidRPr="0035415F">
              <w:rPr>
                <w:rFonts w:cs="2  Lotus"/>
                <w:lang w:bidi="fa-IR"/>
              </w:rPr>
              <w:t>microRNAs</w:t>
            </w:r>
          </w:p>
          <w:p w:rsidR="00E01300" w:rsidRPr="0035415F" w:rsidRDefault="00E01300" w:rsidP="0031722D">
            <w:pPr>
              <w:bidi/>
              <w:rPr>
                <w:rFonts w:cs="2  Lotus"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>15-</w:t>
            </w:r>
            <w:r w:rsidRPr="0035415F">
              <w:rPr>
                <w:rFonts w:cs="2  Lotus"/>
                <w:lang w:bidi="fa-IR"/>
              </w:rPr>
              <w:t xml:space="preserve">  microRNA replacement therapy</w:t>
            </w:r>
          </w:p>
          <w:p w:rsidR="00E01300" w:rsidRPr="0035415F" w:rsidRDefault="00E01300" w:rsidP="0031722D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35415F">
              <w:rPr>
                <w:rFonts w:cs="2  Lotus"/>
                <w:rtl/>
                <w:lang w:bidi="fa-IR"/>
              </w:rPr>
              <w:t>16-</w:t>
            </w:r>
            <w:r w:rsidRPr="0035415F">
              <w:rPr>
                <w:rFonts w:cs="2  Lotus"/>
                <w:lang w:bidi="fa-IR"/>
              </w:rPr>
              <w:t xml:space="preserve"> </w:t>
            </w:r>
            <w:r w:rsidRPr="0035415F">
              <w:rPr>
                <w:rFonts w:cs="2  Lotus"/>
                <w:rtl/>
                <w:lang w:bidi="fa-IR"/>
              </w:rPr>
              <w:t xml:space="preserve"> سرکوب بیان ژنها با استفاده از </w:t>
            </w:r>
            <w:r w:rsidRPr="0035415F">
              <w:rPr>
                <w:rFonts w:cs="2  Lotus"/>
                <w:lang w:bidi="fa-IR"/>
              </w:rPr>
              <w:t>siRNA</w:t>
            </w:r>
            <w:r w:rsidRPr="0035415F">
              <w:rPr>
                <w:rFonts w:cs="2  Lotus"/>
                <w:rtl/>
                <w:lang w:bidi="fa-IR"/>
              </w:rPr>
              <w:t xml:space="preserve"> و </w:t>
            </w:r>
            <w:r w:rsidRPr="0035415F">
              <w:rPr>
                <w:rFonts w:cs="2  Lotus"/>
                <w:lang w:bidi="fa-IR"/>
              </w:rPr>
              <w:t>shRNA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با استفاده از وسایل کمک آموزشی ، وایت بورد، </w:t>
            </w:r>
            <w:r w:rsidRPr="0035415F">
              <w:rPr>
                <w:rFonts w:cs="2  Lotus"/>
                <w:b/>
                <w:bCs/>
                <w:rtl/>
                <w:lang w:bidi="fa-IR"/>
              </w:rPr>
              <w:t>و</w:t>
            </w:r>
            <w:r w:rsidRPr="0035415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35415F">
              <w:rPr>
                <w:rFonts w:cs="2  Lotus" w:hint="eastAsia"/>
                <w:b/>
                <w:bCs/>
                <w:rtl/>
                <w:lang w:bidi="fa-IR"/>
              </w:rPr>
              <w:t>د</w:t>
            </w:r>
            <w:r w:rsidRPr="0035415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35415F">
              <w:rPr>
                <w:rFonts w:cs="2  Lotus" w:hint="eastAsia"/>
                <w:b/>
                <w:bCs/>
                <w:rtl/>
                <w:lang w:bidi="fa-IR"/>
              </w:rPr>
              <w:t>و</w:t>
            </w: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E01300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1- Cellular and Molecular </w:t>
            </w:r>
            <w:r w:rsidRPr="0035415F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Immunology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. ABB Ass-2015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1- Cellular and Molecular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2- Fundamental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1300" w:rsidRPr="0035415F" w:rsidRDefault="00E01300">
      <w:pPr>
        <w:spacing w:after="200" w:line="276" w:lineRule="auto"/>
        <w:rPr>
          <w:rFonts w:cs="2  Lotus"/>
          <w:rtl/>
        </w:rPr>
      </w:pPr>
    </w:p>
    <w:p w:rsidR="00E01300" w:rsidRPr="0035415F" w:rsidRDefault="00E01300" w:rsidP="00E01300">
      <w:pPr>
        <w:bidi/>
        <w:rPr>
          <w:rFonts w:cs="2  Lotus"/>
          <w:b/>
          <w:bCs/>
          <w:rtl/>
          <w:lang w:bidi="fa-IR"/>
        </w:rPr>
      </w:pPr>
    </w:p>
    <w:p w:rsidR="00E01300" w:rsidRPr="0035415F" w:rsidRDefault="00E01300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35415F">
        <w:rPr>
          <w:rFonts w:cs="2  Lotus"/>
          <w:b/>
          <w:bCs/>
          <w:rtl/>
          <w:lang w:bidi="fa-IR"/>
        </w:rPr>
        <w:br w:type="page"/>
      </w: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35415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35415F">
              <w:rPr>
                <w:rFonts w:cs="2  Lotus" w:hint="cs"/>
                <w:b w:val="0"/>
                <w:bCs w:val="0"/>
                <w:rtl/>
              </w:rPr>
              <w:t xml:space="preserve">               </w:t>
            </w:r>
            <w:r w:rsidRPr="0035415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ايمونوتراپي</w:t>
            </w: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E01300" w:rsidRPr="0035415F" w:rsidRDefault="00E01300" w:rsidP="00E01300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35415F">
              <w:rPr>
                <w:rFonts w:cs="2  Lotus" w:hint="cs"/>
                <w:rtl/>
              </w:rPr>
              <w:t xml:space="preserve"> </w:t>
            </w:r>
            <w:r w:rsidRPr="0035415F">
              <w:rPr>
                <w:rFonts w:cs="2  Lotus" w:hint="cs"/>
                <w:b w:val="0"/>
                <w:bCs w:val="0"/>
                <w:color w:val="000000"/>
                <w:sz w:val="28"/>
                <w:szCs w:val="28"/>
                <w:rtl/>
                <w:lang w:bidi="fa-IR"/>
              </w:rPr>
              <w:t>باروري</w:t>
            </w: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E01300" w:rsidRPr="0035415F" w:rsidRDefault="00E01300" w:rsidP="000C1697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0C1697" w:rsidRPr="0035415F">
              <w:rPr>
                <w:rFonts w:cs="2  Lotus" w:hint="cs"/>
                <w:b w:val="0"/>
                <w:bCs w:val="0"/>
                <w:rtl/>
                <w:lang w:bidi="fa-IR"/>
              </w:rPr>
              <w:t>جلسه سوم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E01300" w:rsidRPr="0035415F" w:rsidRDefault="00E01300" w:rsidP="00E01300">
      <w:pPr>
        <w:bidi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E01300" w:rsidRPr="0035415F" w:rsidTr="00E01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35415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35415F">
              <w:rPr>
                <w:rFonts w:cs="2  Lotus" w:hint="cs"/>
                <w:rtl/>
              </w:rPr>
              <w:t>ايمني باروری</w:t>
            </w:r>
            <w:r w:rsidRPr="0035415F">
              <w:rPr>
                <w:rFonts w:cs="2  Lotus" w:hint="cs"/>
                <w:b w:val="0"/>
                <w:bCs w:val="0"/>
                <w:rtl/>
              </w:rPr>
              <w:t xml:space="preserve"> </w:t>
            </w:r>
            <w:r w:rsidRPr="0035415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E01300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. ABB Ass-2015.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35415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1300" w:rsidRPr="0035415F" w:rsidRDefault="00E01300" w:rsidP="00E01300">
      <w:pPr>
        <w:bidi/>
        <w:rPr>
          <w:rFonts w:cs="2  Lotus"/>
          <w:rtl/>
        </w:rPr>
      </w:pPr>
    </w:p>
    <w:p w:rsidR="00E01300" w:rsidRPr="0035415F" w:rsidRDefault="00E01300">
      <w:pPr>
        <w:spacing w:after="200" w:line="276" w:lineRule="auto"/>
        <w:rPr>
          <w:rFonts w:cs="2  Lotus"/>
          <w:rtl/>
        </w:rPr>
      </w:pPr>
      <w:r w:rsidRPr="0035415F">
        <w:rPr>
          <w:rFonts w:cs="2  Lotus"/>
          <w:rtl/>
        </w:rPr>
        <w:br w:type="page"/>
      </w: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lang w:bidi="fa-IR"/>
        </w:rPr>
      </w:pPr>
    </w:p>
    <w:p w:rsidR="00E01300" w:rsidRPr="0035415F" w:rsidRDefault="00E01300" w:rsidP="00E01300">
      <w:pPr>
        <w:bidi/>
        <w:jc w:val="center"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عنوان درس: ايمونوتراپي</w:t>
            </w:r>
          </w:p>
          <w:p w:rsidR="00E01300" w:rsidRPr="0035415F" w:rsidRDefault="00E01300" w:rsidP="00E01300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موضوع جلسه : ايمونوتراپي بيماري هاي خودايمني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E01300" w:rsidRPr="0035415F" w:rsidRDefault="00E01300" w:rsidP="000C1697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0C1697" w:rsidRPr="0035415F">
              <w:rPr>
                <w:rFonts w:cs="2  Lotus" w:hint="cs"/>
                <w:b w:val="0"/>
                <w:bCs w:val="0"/>
                <w:rtl/>
                <w:lang w:bidi="fa-IR"/>
              </w:rPr>
              <w:t>جلسه چهارم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E01300" w:rsidRPr="0035415F" w:rsidRDefault="00E01300" w:rsidP="00E01300">
      <w:pPr>
        <w:bidi/>
        <w:rPr>
          <w:rFonts w:cs="2  Lotus"/>
          <w:b/>
          <w:bCs/>
          <w:rtl/>
          <w:lang w:bidi="fa-IR"/>
        </w:rPr>
      </w:pPr>
      <w:r w:rsidRPr="0035415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E01300" w:rsidRPr="0035415F" w:rsidTr="00E0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E01300" w:rsidRPr="0035415F" w:rsidTr="00E01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خصوصيات كلي ايجاد بيماري هاي خودايمني را بداند.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مكانيسمهاي ايمونولو‍زيك ايجاد بيماري هاي خودايمني را بداند.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انواع روش هاي ايمونوتراپي را بداند.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انواع روش هاي ايمونوتراپي قابل انجام در بيماري هاي خود ايمني را بداند.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E01300" w:rsidRPr="0035415F" w:rsidRDefault="00E01300" w:rsidP="0031722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35415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1300" w:rsidRPr="0035415F" w:rsidTr="00E01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1300" w:rsidRPr="0035415F" w:rsidRDefault="00E01300" w:rsidP="003172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35415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35415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35415F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E01300" w:rsidRPr="0035415F" w:rsidRDefault="00E01300" w:rsidP="0031722D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35415F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1300" w:rsidRPr="0035415F" w:rsidRDefault="00E01300" w:rsidP="0031722D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1300" w:rsidRPr="0035415F" w:rsidRDefault="00E01300" w:rsidP="00E01300">
      <w:pPr>
        <w:bidi/>
        <w:rPr>
          <w:rFonts w:cs="2  Lotus"/>
        </w:rPr>
      </w:pPr>
    </w:p>
    <w:p w:rsidR="00E01300" w:rsidRPr="0035415F" w:rsidRDefault="00E01300" w:rsidP="00E01300">
      <w:pPr>
        <w:bidi/>
        <w:rPr>
          <w:rFonts w:cs="2  Lotus"/>
        </w:rPr>
      </w:pPr>
    </w:p>
    <w:p w:rsidR="009515FC" w:rsidRPr="0035415F" w:rsidRDefault="009515FC" w:rsidP="00E01300">
      <w:pPr>
        <w:bidi/>
        <w:rPr>
          <w:rFonts w:cs="2  Lotus"/>
        </w:rPr>
      </w:pPr>
    </w:p>
    <w:sectPr w:rsidR="009515FC" w:rsidRPr="0035415F" w:rsidSect="00E01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ED" w:rsidRDefault="00EE49ED" w:rsidP="0035415F">
      <w:r>
        <w:separator/>
      </w:r>
    </w:p>
  </w:endnote>
  <w:endnote w:type="continuationSeparator" w:id="0">
    <w:p w:rsidR="00EE49ED" w:rsidRDefault="00EE49ED" w:rsidP="003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5F" w:rsidRDefault="00354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22863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5415F" w:rsidRDefault="0035415F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35415F" w:rsidRDefault="0035415F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415F" w:rsidRDefault="00354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5F" w:rsidRDefault="00354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ED" w:rsidRDefault="00EE49ED" w:rsidP="0035415F">
      <w:r>
        <w:separator/>
      </w:r>
    </w:p>
  </w:footnote>
  <w:footnote w:type="continuationSeparator" w:id="0">
    <w:p w:rsidR="00EE49ED" w:rsidRDefault="00EE49ED" w:rsidP="0035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5F" w:rsidRDefault="00354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5F" w:rsidRDefault="00354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5F" w:rsidRDefault="00354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300"/>
    <w:rsid w:val="000C1697"/>
    <w:rsid w:val="0035415F"/>
    <w:rsid w:val="009515FC"/>
    <w:rsid w:val="00E01300"/>
    <w:rsid w:val="00E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E013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1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1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1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2017-02-20T10:00:00Z</cp:lastPrinted>
  <dcterms:created xsi:type="dcterms:W3CDTF">2017-02-20T09:55:00Z</dcterms:created>
  <dcterms:modified xsi:type="dcterms:W3CDTF">2018-09-08T06:33:00Z</dcterms:modified>
</cp:coreProperties>
</file>